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D37" w:rsidRPr="00F81FB2" w:rsidRDefault="003A7030" w:rsidP="00970370">
      <w:pPr>
        <w:pStyle w:val="EXPOZ-nadpis1"/>
      </w:pPr>
      <w:bookmarkStart w:id="0" w:name="_GoBack"/>
      <w:bookmarkEnd w:id="0"/>
      <w:r w:rsidRPr="0097037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2EB">
        <w:t>Biologie</w:t>
      </w:r>
      <w:r w:rsidR="00FA35FE" w:rsidRPr="00F81FB2">
        <w:t xml:space="preserve"> – úloha č. </w:t>
      </w:r>
      <w:r w:rsidR="008162EB">
        <w:t>07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8162EB">
        <w:t>Marta Najbertová</w:t>
      </w:r>
    </w:p>
    <w:p w:rsidR="00040D37" w:rsidRPr="004D01D3" w:rsidRDefault="004D01D3" w:rsidP="004D01D3">
      <w:pPr>
        <w:pStyle w:val="EXPOZ-nazevulohy"/>
      </w:pPr>
      <w:r w:rsidRPr="004D01D3">
        <w:t>Vliv fyzické zátěže na krevní tlak a tep</w:t>
      </w:r>
    </w:p>
    <w:p w:rsidR="00040D37" w:rsidRPr="00C9043E" w:rsidRDefault="00040D37" w:rsidP="00C9043E">
      <w:pPr>
        <w:pStyle w:val="EXPOZ-nadpis2"/>
      </w:pPr>
      <w:r>
        <w:t>Cíle</w:t>
      </w:r>
    </w:p>
    <w:p w:rsidR="004D01D3" w:rsidRDefault="004D01D3" w:rsidP="004D01D3">
      <w:pPr>
        <w:pStyle w:val="EXPOZ-zakladnitext"/>
      </w:pPr>
      <w:r>
        <w:t>Naučit žáky pomocí senzoru pro krevní tlak změřit hodnoty krevního tlaku (</w:t>
      </w:r>
      <w:r w:rsidRPr="00CD2C2B">
        <w:rPr>
          <w:rStyle w:val="EXPOZ-italic"/>
        </w:rPr>
        <w:t>TK</w:t>
      </w:r>
      <w:r>
        <w:t>) a tepové frekvence (</w:t>
      </w:r>
      <w:r w:rsidRPr="00CD2C2B">
        <w:rPr>
          <w:rStyle w:val="EXPOZ-italic"/>
        </w:rPr>
        <w:t>TF</w:t>
      </w:r>
      <w:r>
        <w:t xml:space="preserve">). Pochopit podstatu změn </w:t>
      </w:r>
      <w:proofErr w:type="gramStart"/>
      <w:r w:rsidRPr="009166F5">
        <w:rPr>
          <w:i/>
        </w:rPr>
        <w:t>TK</w:t>
      </w:r>
      <w:proofErr w:type="gramEnd"/>
      <w:r>
        <w:rPr>
          <w:i/>
        </w:rPr>
        <w:t xml:space="preserve"> </w:t>
      </w:r>
      <w:r w:rsidRPr="001208C4">
        <w:t>a tepu</w:t>
      </w:r>
      <w:r>
        <w:rPr>
          <w:i/>
        </w:rPr>
        <w:t xml:space="preserve"> </w:t>
      </w:r>
      <w:r>
        <w:t>v závislosti na fyziologickém stavu organismu.</w:t>
      </w:r>
    </w:p>
    <w:p w:rsidR="00040D37" w:rsidRDefault="00040D37">
      <w:pPr>
        <w:pStyle w:val="EXPOZ-nadpis2"/>
      </w:pPr>
      <w:r>
        <w:t>Zadání úlohy</w:t>
      </w:r>
    </w:p>
    <w:p w:rsidR="004D01D3" w:rsidRDefault="004D01D3" w:rsidP="004D01D3">
      <w:pPr>
        <w:pStyle w:val="EXPOZ-zakladnitext"/>
      </w:pPr>
      <w:r w:rsidRPr="00AE0F74">
        <w:t>Pomocí senzoru tlakoměr s</w:t>
      </w:r>
      <w:r w:rsidR="00E31326">
        <w:t> </w:t>
      </w:r>
      <w:r w:rsidRPr="00AE0F74">
        <w:t>manžetou</w:t>
      </w:r>
      <w:r w:rsidR="00E31326">
        <w:t xml:space="preserve"> proveďte</w:t>
      </w:r>
      <w:r w:rsidRPr="00AE0F74">
        <w:t xml:space="preserve"> měření krevního tlaku a tepové frekvence v klidu a po zátěži. </w:t>
      </w:r>
      <w:r w:rsidR="005345E9">
        <w:t xml:space="preserve">Porovnejte naměřené hodnoty s normovanými. </w:t>
      </w:r>
      <w:r w:rsidRPr="00AE0F74">
        <w:t>Ověř</w:t>
      </w:r>
      <w:r w:rsidR="00E31326">
        <w:t>te</w:t>
      </w:r>
      <w:r w:rsidRPr="00AE0F74">
        <w:t xml:space="preserve"> závislost hodnoty krevního</w:t>
      </w:r>
      <w:r w:rsidR="005345E9">
        <w:t xml:space="preserve"> tlaku a tepu na fyzické zátěži.</w:t>
      </w:r>
    </w:p>
    <w:p w:rsidR="00040D37" w:rsidRDefault="00040D37">
      <w:pPr>
        <w:pStyle w:val="EXPOZ-nadpis2"/>
      </w:pPr>
      <w:r>
        <w:t>Pomůcky</w:t>
      </w:r>
    </w:p>
    <w:p w:rsidR="004D01D3" w:rsidRPr="00AD54A9" w:rsidRDefault="004D01D3" w:rsidP="004D01D3">
      <w:pPr>
        <w:pStyle w:val="EXPOZ-zakladnitext"/>
      </w:pPr>
      <w:r w:rsidRPr="00AD54A9">
        <w:t xml:space="preserve">počítač s USB portem se software DataStudio, PASPORT USB Link (Interface), PASPORT </w:t>
      </w:r>
      <w:r>
        <w:t>s</w:t>
      </w:r>
      <w:r w:rsidRPr="00AD54A9">
        <w:t xml:space="preserve">enzor </w:t>
      </w:r>
      <w:r>
        <w:rPr>
          <w:rFonts w:ascii="Times New Roman" w:hAnsi="Times New Roman"/>
        </w:rPr>
        <w:t>PS – 2207</w:t>
      </w:r>
      <w:r>
        <w:rPr>
          <w:szCs w:val="22"/>
        </w:rPr>
        <w:t xml:space="preserve">, manžeta s tlakovým balonkem a ventilkem  PS- 2532, návod k senzoru </w:t>
      </w:r>
      <w:r w:rsidRPr="00AD54A9">
        <w:t xml:space="preserve">PASPORT </w:t>
      </w:r>
      <w:r>
        <w:rPr>
          <w:rFonts w:ascii="Times New Roman" w:hAnsi="Times New Roman"/>
        </w:rPr>
        <w:t>PS – 2207,</w:t>
      </w:r>
      <w:r>
        <w:rPr>
          <w:szCs w:val="22"/>
        </w:rPr>
        <w:t xml:space="preserve"> </w:t>
      </w:r>
      <w:r>
        <w:t>pracovní návod, pracovní list</w:t>
      </w:r>
      <w:r w:rsidRPr="00AD54A9">
        <w:t xml:space="preserve"> </w:t>
      </w:r>
    </w:p>
    <w:p w:rsidR="00040D37" w:rsidRDefault="00040D37">
      <w:pPr>
        <w:pStyle w:val="EXPOZ-nadpis2"/>
      </w:pPr>
      <w:r>
        <w:t>Teoretický úvod</w:t>
      </w:r>
    </w:p>
    <w:p w:rsidR="004D01D3" w:rsidRDefault="004D01D3" w:rsidP="004D01D3">
      <w:pPr>
        <w:pStyle w:val="EXPOZ-zakladnitext"/>
      </w:pPr>
      <w:r w:rsidRPr="001208C4">
        <w:rPr>
          <w:rStyle w:val="EXPOZ-bold"/>
        </w:rPr>
        <w:t>Krevní tlak</w:t>
      </w:r>
      <w:r>
        <w:t xml:space="preserve"> (</w:t>
      </w:r>
      <w:r w:rsidRPr="001208C4">
        <w:rPr>
          <w:rStyle w:val="EXPOZ-bolditalic"/>
        </w:rPr>
        <w:t>TK</w:t>
      </w:r>
      <w:r>
        <w:t xml:space="preserve">) je tlak, kterým krev působí na stěnu cév. Je vytvářen činností srdce, které vypuzuje krev do aorty (krevního oběhu) a odporem cévního řečiště. V průběhu srdečního cyklu </w:t>
      </w:r>
      <w:proofErr w:type="gramStart"/>
      <w:r w:rsidRPr="009166F5">
        <w:rPr>
          <w:rStyle w:val="EXPOZ-italic"/>
        </w:rPr>
        <w:t xml:space="preserve">TK </w:t>
      </w:r>
      <w:r>
        <w:t>stoupá</w:t>
      </w:r>
      <w:proofErr w:type="gramEnd"/>
      <w:r>
        <w:t xml:space="preserve"> a klesá, nejvyšší hodnoty dosahuje v systole – systolický tlak a nejnižší na konci srdeční diastoly – diastolický tlak.</w:t>
      </w:r>
    </w:p>
    <w:p w:rsidR="004D01D3" w:rsidRDefault="004D01D3" w:rsidP="004D01D3">
      <w:pPr>
        <w:pStyle w:val="EXPOZ-zakladnitext"/>
      </w:pPr>
      <w:r w:rsidRPr="001208C4">
        <w:rPr>
          <w:rStyle w:val="EXPOZ-bold"/>
        </w:rPr>
        <w:t>Systolický tlak</w:t>
      </w:r>
      <w:r>
        <w:t xml:space="preserve"> (</w:t>
      </w:r>
      <w:r w:rsidRPr="001208C4">
        <w:rPr>
          <w:rStyle w:val="EXPOZ-bolditalic"/>
        </w:rPr>
        <w:t>TS</w:t>
      </w:r>
      <w:r w:rsidRPr="009166F5">
        <w:rPr>
          <w:rStyle w:val="EXPOZ-italic"/>
        </w:rPr>
        <w:t>)</w:t>
      </w:r>
      <w:r>
        <w:t xml:space="preserve"> závisí zejména na vypuzovací činnosti srdce a kvalitě stěny aorty, </w:t>
      </w:r>
      <w:r w:rsidRPr="001208C4">
        <w:rPr>
          <w:rStyle w:val="EXPOZ-bold"/>
        </w:rPr>
        <w:t>diastolický tlak</w:t>
      </w:r>
      <w:r>
        <w:t xml:space="preserve"> (</w:t>
      </w:r>
      <w:r w:rsidRPr="001208C4">
        <w:rPr>
          <w:rStyle w:val="EXPOZ-bolditalic"/>
        </w:rPr>
        <w:t>TD</w:t>
      </w:r>
      <w:r>
        <w:t>) je ovlivňován odporem drobných cév, zejména tepének. V krevním oběhu klesá tlak směrem od srdce k velkým tepnám a dále k</w:t>
      </w:r>
      <w:r w:rsidR="004A7642">
        <w:t> </w:t>
      </w:r>
      <w:r>
        <w:t>periferii</w:t>
      </w:r>
      <w:r w:rsidR="004A7642">
        <w:t xml:space="preserve"> (obr</w:t>
      </w:r>
      <w:r>
        <w:t>.</w:t>
      </w:r>
      <w:r w:rsidR="004A7642">
        <w:t xml:space="preserve"> 1).</w:t>
      </w:r>
      <w:r>
        <w:t xml:space="preserve"> </w:t>
      </w:r>
    </w:p>
    <w:p w:rsidR="004D01D3" w:rsidRDefault="004D01D3" w:rsidP="004D01D3">
      <w:pPr>
        <w:pStyle w:val="EXPOZ-zakladnitext"/>
      </w:pPr>
      <w:r w:rsidRPr="009166F5">
        <w:rPr>
          <w:rStyle w:val="EXPOZ-italic"/>
        </w:rPr>
        <w:t>TK</w:t>
      </w:r>
      <w:r>
        <w:t xml:space="preserve"> </w:t>
      </w:r>
      <w:r w:rsidR="00A7266C">
        <w:t xml:space="preserve"> </w:t>
      </w:r>
      <w:proofErr w:type="gramStart"/>
      <w:r>
        <w:t>je</w:t>
      </w:r>
      <w:proofErr w:type="gramEnd"/>
      <w:r>
        <w:t xml:space="preserve"> v těle udržován v určitém rozmezí, může kolísat. Vysoký tlak se označuje jako </w:t>
      </w:r>
      <w:r w:rsidRPr="001208C4">
        <w:rPr>
          <w:rStyle w:val="EXPOZ-bold"/>
        </w:rPr>
        <w:t xml:space="preserve">hypertenze </w:t>
      </w:r>
      <w:r>
        <w:t xml:space="preserve">a má negativní vliv na srdce a cévy, nízký tlak se nazývá </w:t>
      </w:r>
      <w:r w:rsidRPr="001208C4">
        <w:rPr>
          <w:rStyle w:val="EXPOZ-bold"/>
        </w:rPr>
        <w:t>hypotenze</w:t>
      </w:r>
      <w:r>
        <w:t xml:space="preserve"> a může způsobovat poruchy prokrvení některých orgánů, zejména mozku, může být příčinou šoku.</w:t>
      </w:r>
    </w:p>
    <w:p w:rsidR="004D01D3" w:rsidRDefault="004D01D3" w:rsidP="004D01D3">
      <w:pPr>
        <w:pStyle w:val="EXPOZ-zakladnitext"/>
      </w:pPr>
      <w:r>
        <w:t>Při lékařském vyšetření se krevním tlakem myslí tlak v pažní tepně. Nejčastěji se měří neinvazně, a to tlakoměrem čili tonometrem v oblasti levé paže. Jeho hodnoty se udávají v kilopascalech (kPa), v běžné praxi se vyjadřuje v</w:t>
      </w:r>
      <w:r w:rsidR="005747A4">
        <w:t> </w:t>
      </w:r>
      <w:r>
        <w:t>mm</w:t>
      </w:r>
      <w:r w:rsidR="005747A4">
        <w:t xml:space="preserve"> </w:t>
      </w:r>
      <w:proofErr w:type="spellStart"/>
      <w:r>
        <w:t>Hg</w:t>
      </w:r>
      <w:proofErr w:type="spellEnd"/>
      <w:r>
        <w:t xml:space="preserve"> (torrech). Naměřené hodnoty zapisujeme  jako zlomek </w:t>
      </w:r>
      <w:proofErr w:type="gramStart"/>
      <w:r w:rsidRPr="009166F5">
        <w:rPr>
          <w:rStyle w:val="EXPOZ-italic"/>
        </w:rPr>
        <w:t>TK</w:t>
      </w:r>
      <w:r w:rsidR="00761AB5">
        <w:rPr>
          <w:rStyle w:val="EXPOZ-italic"/>
        </w:rPr>
        <w:t xml:space="preserve"> </w:t>
      </w:r>
      <w:r w:rsidRPr="009166F5">
        <w:rPr>
          <w:rStyle w:val="EXPOZ-italic"/>
        </w:rPr>
        <w:t>: TS/TD</w:t>
      </w:r>
      <w:proofErr w:type="gramEnd"/>
      <w:r>
        <w:t xml:space="preserve">. U dospělého člověka se </w:t>
      </w:r>
      <w:proofErr w:type="gramStart"/>
      <w:r>
        <w:t>uvádí</w:t>
      </w:r>
      <w:proofErr w:type="gramEnd"/>
      <w:r>
        <w:t xml:space="preserve"> průměrné hodnoty</w:t>
      </w:r>
      <w:r w:rsidR="00761AB5">
        <w:t xml:space="preserve"> </w:t>
      </w:r>
      <w:proofErr w:type="gramStart"/>
      <w:r w:rsidRPr="009166F5">
        <w:rPr>
          <w:rStyle w:val="EXPOZ-italic"/>
        </w:rPr>
        <w:t>TK</w:t>
      </w:r>
      <w:proofErr w:type="gramEnd"/>
      <w:r w:rsidRPr="009166F5">
        <w:rPr>
          <w:rStyle w:val="EXPOZ-italic"/>
        </w:rPr>
        <w:t xml:space="preserve"> </w:t>
      </w:r>
      <w:r>
        <w:t>v klidu (vsedě, vleže) v rozmezí 110 – 140/ 70 – 90 torr.</w:t>
      </w:r>
    </w:p>
    <w:p w:rsidR="004D01D3" w:rsidRDefault="004D01D3" w:rsidP="004D01D3">
      <w:pPr>
        <w:pStyle w:val="EXPOZ-zakladnitext"/>
      </w:pPr>
      <w:r>
        <w:t xml:space="preserve">Klidový krevní tlak je závislý především na věku (s věkem stoupá, a to zejména </w:t>
      </w:r>
      <w:r w:rsidRPr="009166F5">
        <w:rPr>
          <w:rStyle w:val="EXPOZ-italic"/>
        </w:rPr>
        <w:t>TS</w:t>
      </w:r>
      <w:r>
        <w:t xml:space="preserve">) a na pohlaví (u žen </w:t>
      </w:r>
      <w:proofErr w:type="gramStart"/>
      <w:r>
        <w:t>bývá</w:t>
      </w:r>
      <w:r w:rsidR="00A7266C">
        <w:t xml:space="preserve"> </w:t>
      </w:r>
      <w:r w:rsidRPr="009166F5">
        <w:rPr>
          <w:rStyle w:val="EXPOZ-italic"/>
        </w:rPr>
        <w:t>TK</w:t>
      </w:r>
      <w:proofErr w:type="gramEnd"/>
      <w:r>
        <w:t xml:space="preserve"> asi o 5 torrů nižší). </w:t>
      </w:r>
      <w:r w:rsidRPr="009166F5">
        <w:rPr>
          <w:rStyle w:val="EXPOZ-italic"/>
        </w:rPr>
        <w:t>TK</w:t>
      </w:r>
      <w:r w:rsidR="00761AB5">
        <w:rPr>
          <w:rStyle w:val="EXPOZ-italic"/>
        </w:rPr>
        <w:t xml:space="preserve"> </w:t>
      </w:r>
      <w:r>
        <w:t>se zvyšuje zejména při fyzické aktivitě vlivem zvětšení minutového</w:t>
      </w:r>
      <w:r w:rsidR="00761AB5">
        <w:t xml:space="preserve"> </w:t>
      </w:r>
      <w:r>
        <w:t>srdečního objemu a psychické zátěž</w:t>
      </w:r>
      <w:r w:rsidR="006F4C53">
        <w:t>i</w:t>
      </w:r>
      <w:r>
        <w:t xml:space="preserve"> vlivem odporu zužujících se cév. Hodnoty </w:t>
      </w:r>
      <w:proofErr w:type="gramStart"/>
      <w:r w:rsidRPr="009166F5">
        <w:rPr>
          <w:rStyle w:val="EXPOZ-italic"/>
        </w:rPr>
        <w:t>TK</w:t>
      </w:r>
      <w:r w:rsidR="00C969FA">
        <w:t xml:space="preserve"> ovlivňují</w:t>
      </w:r>
      <w:proofErr w:type="gramEnd"/>
      <w:r w:rsidR="00C969FA">
        <w:t xml:space="preserve"> vnější faktory</w:t>
      </w:r>
      <w:r w:rsidR="005747A4">
        <w:t>,</w:t>
      </w:r>
      <w:r w:rsidR="00C969FA">
        <w:t xml:space="preserve"> </w:t>
      </w:r>
      <w:r>
        <w:t>jako je například kofein, alkohol, nikotin aj.</w:t>
      </w:r>
    </w:p>
    <w:p w:rsidR="004D01D3" w:rsidRDefault="004D01D3" w:rsidP="004D01D3">
      <w:pPr>
        <w:pStyle w:val="EXPOZ-zakladnitext"/>
      </w:pPr>
      <w:r w:rsidRPr="00503C08">
        <w:rPr>
          <w:rStyle w:val="EXPOZ-italic"/>
        </w:rPr>
        <w:t>TK</w:t>
      </w:r>
      <w:r>
        <w:t xml:space="preserve"> </w:t>
      </w:r>
      <w:proofErr w:type="gramStart"/>
      <w:r>
        <w:t>je</w:t>
      </w:r>
      <w:proofErr w:type="gramEnd"/>
      <w:r>
        <w:t xml:space="preserve"> významným ukazatelem pro prevenci srdečně-cévních chorob, je měřítkem ischemické choroby srdeční.</w:t>
      </w:r>
    </w:p>
    <w:p w:rsidR="004D01D3" w:rsidRPr="006C40AF" w:rsidRDefault="004D01D3" w:rsidP="004D01D3">
      <w:pPr>
        <w:pStyle w:val="EXPOZ-zakladnitext"/>
      </w:pPr>
      <w:r w:rsidRPr="00BA21A5">
        <w:rPr>
          <w:rStyle w:val="EXPOZ-bold"/>
        </w:rPr>
        <w:lastRenderedPageBreak/>
        <w:t>Tep = puls</w:t>
      </w:r>
      <w:r w:rsidRPr="006C40AF">
        <w:t xml:space="preserve"> je tlaková vlna vyvolaná vypuzením krve z levé srdeční komory do aorty šířící se odtud na periferní tepny. Rychlost šíření tepové vlny je určena především kvalitou stěny tepen. Série těchto vln odpovídá srdečnímu rytmu a frekvenci. Počet srdečních stahů za minutu se označuje jako </w:t>
      </w:r>
      <w:r w:rsidRPr="00BA21A5">
        <w:rPr>
          <w:rStyle w:val="EXPOZ-bold"/>
        </w:rPr>
        <w:t>tepová (srdeční) frekvence</w:t>
      </w:r>
      <w:r w:rsidRPr="006C40AF">
        <w:t>.</w:t>
      </w:r>
    </w:p>
    <w:p w:rsidR="004D01D3" w:rsidRPr="003A3B0E" w:rsidRDefault="004D01D3" w:rsidP="004D01D3">
      <w:pPr>
        <w:pStyle w:val="EXPOZ-zakladnitext"/>
      </w:pPr>
      <w:r w:rsidRPr="00BA21A5">
        <w:rPr>
          <w:rStyle w:val="EXPOZ-bold"/>
        </w:rPr>
        <w:t>Klidová tepová frekvence</w:t>
      </w:r>
      <w:r w:rsidRPr="006C40AF">
        <w:t xml:space="preserve"> zdravého dospělého člověka je asi 70 tepů za minutu (s rozmezím 60 – 80 tepů/min). Velikost tepové frekvence je závislá například na věku, pohlaví, tělesné práci a na podmínkách zevního prostředí. Mezi faktory, které její hodnoty zvyšují</w:t>
      </w:r>
      <w:r>
        <w:t>,</w:t>
      </w:r>
      <w:r w:rsidRPr="006C40AF">
        <w:t xml:space="preserve"> patří fyzická zátěž, emoce (strach, úzkost), horečka, přítomnost kofeinu či nikotinu v krvi.  Fyzicky zdatný člověk má hodnotu tepové frekvence nižší. </w:t>
      </w:r>
      <w:r w:rsidRPr="003A3B0E">
        <w:t>Z rychlosti a charakteru tepu lze usoudit na činnost srdce a na některé jeho poruchy.</w:t>
      </w:r>
    </w:p>
    <w:p w:rsidR="004D01D3" w:rsidRPr="003A3B0E" w:rsidRDefault="004D01D3" w:rsidP="004D01D3">
      <w:pPr>
        <w:pStyle w:val="EXPOZ-zakladnitext"/>
      </w:pPr>
      <w:r w:rsidRPr="003A3B0E">
        <w:t>Neinvazivní měření krevního tlaku a tepu patří k základním metodám klinického vyšetření.</w:t>
      </w:r>
    </w:p>
    <w:p w:rsidR="00040D37" w:rsidRDefault="00040D37">
      <w:pPr>
        <w:pStyle w:val="EXPOZ-nadpis2"/>
      </w:pPr>
      <w:r>
        <w:t>Bezpečnost práce</w:t>
      </w:r>
    </w:p>
    <w:p w:rsidR="004D01D3" w:rsidRDefault="004D01D3" w:rsidP="004D01D3">
      <w:pPr>
        <w:pStyle w:val="EXPOZ-zakladnitext"/>
      </w:pPr>
      <w:r>
        <w:t>Je třeba dodržovat zásady bezpečnosti a hygieny práce v biologické laboratoři a zásady bezpečné práce s elektrickými zařízeními. Pracovat pečlivě dle návodu práce.</w:t>
      </w:r>
    </w:p>
    <w:p w:rsidR="00040D37" w:rsidRDefault="00040D37">
      <w:pPr>
        <w:pStyle w:val="EXPOZ-nadpis2"/>
      </w:pPr>
      <w:r>
        <w:t>Příprava úlohy (praktická příprava)</w:t>
      </w:r>
    </w:p>
    <w:p w:rsidR="004D01D3" w:rsidRDefault="004D01D3" w:rsidP="004D01D3">
      <w:pPr>
        <w:pStyle w:val="EXPOZ-zakladnitext"/>
      </w:pPr>
      <w:r w:rsidRPr="005534C7">
        <w:t>Nejprve zodpovíme úvodní motivační otázky.</w:t>
      </w:r>
      <w:r>
        <w:t xml:space="preserve"> </w:t>
      </w:r>
      <w:r w:rsidRPr="005534C7">
        <w:t>Prostudujeme pracovní návod a pracovní list.</w:t>
      </w:r>
      <w:r>
        <w:t xml:space="preserve"> Připravíme měřící techniku. Na senzor PS-2207 připojíme manžetu, při připojení je nutné rychlokonektorem na hadičce pootočit po směru hodinových ručiček tak, aby správně zapadl. Provedeme zkoušku funkčnosti senzoru.</w:t>
      </w:r>
    </w:p>
    <w:p w:rsidR="00040D37" w:rsidRDefault="00040D37" w:rsidP="00116275">
      <w:pPr>
        <w:pStyle w:val="EXPOZ-nadpis2"/>
      </w:pPr>
      <w:r>
        <w:t>Postup práce</w:t>
      </w:r>
    </w:p>
    <w:p w:rsidR="004D01D3" w:rsidRDefault="004D01D3" w:rsidP="004D01D3">
      <w:pPr>
        <w:pStyle w:val="EXPOZ-zakladnitext"/>
      </w:pPr>
      <w:r>
        <w:t xml:space="preserve">Doporučujeme </w:t>
      </w:r>
      <w:r w:rsidRPr="00C00538">
        <w:t>provádět</w:t>
      </w:r>
      <w:r>
        <w:t xml:space="preserve"> práci</w:t>
      </w:r>
      <w:r w:rsidRPr="00C00538">
        <w:t xml:space="preserve"> ve </w:t>
      </w:r>
      <w:r w:rsidRPr="001250B0">
        <w:rPr>
          <w:rStyle w:val="EXPOZ-bold"/>
        </w:rPr>
        <w:t>dvojicích</w:t>
      </w:r>
      <w:r w:rsidRPr="00C00538">
        <w:t>, jedna osoba je testována, druhá provádí měření a sbírá její data, následně se v roli vymění. Obě osoby během měření spolupracují a zodpovídají za výsledky. Každý účastník měření zpracovává data vlastní.</w:t>
      </w:r>
    </w:p>
    <w:p w:rsidR="004D01D3" w:rsidRDefault="004D01D3" w:rsidP="004D01D3">
      <w:pPr>
        <w:pStyle w:val="EXPOZ-zakladnitext"/>
      </w:pPr>
      <w:r w:rsidRPr="005534C7">
        <w:t>Nejprve zodpovíme úvodní motivační otázky.</w:t>
      </w:r>
      <w:r>
        <w:t xml:space="preserve"> Připravíme měřicí zařízení.</w:t>
      </w:r>
    </w:p>
    <w:p w:rsidR="004D01D3" w:rsidRDefault="004D01D3" w:rsidP="004D01D3">
      <w:pPr>
        <w:pStyle w:val="EXPOZ-zakladnitext"/>
      </w:pPr>
      <w:r>
        <w:t>Testovaná osoba</w:t>
      </w:r>
      <w:r w:rsidRPr="00C00538">
        <w:t xml:space="preserve"> </w:t>
      </w:r>
      <w:r>
        <w:t xml:space="preserve">se připraví k měření. Osoba provádějící měření připevní manžetu do správné polohy. Provede měření ve stavu testované osoby v klidu a po námaze (30 dřepů v intervalu 30 s). </w:t>
      </w:r>
    </w:p>
    <w:p w:rsidR="004D01D3" w:rsidRDefault="004D01D3" w:rsidP="004D01D3">
      <w:pPr>
        <w:pStyle w:val="EXPOZ-zakladnitext"/>
      </w:pPr>
      <w:r w:rsidRPr="00C00538">
        <w:t xml:space="preserve">Grafický záznam uložíme jako soubor </w:t>
      </w:r>
      <w:r w:rsidRPr="00945CD3">
        <w:rPr>
          <w:rStyle w:val="EXPOZ-italic"/>
          <w:i w:val="0"/>
        </w:rPr>
        <w:t>DataStudio</w:t>
      </w:r>
      <w:r>
        <w:rPr>
          <w:rStyle w:val="EXPOZ-italic"/>
        </w:rPr>
        <w:t xml:space="preserve"> (*.ds)</w:t>
      </w:r>
      <w:r w:rsidRPr="00C00538">
        <w:t xml:space="preserve"> k</w:t>
      </w:r>
      <w:r>
        <w:t xml:space="preserve"> případnému dalšímu </w:t>
      </w:r>
      <w:r w:rsidRPr="00C00538">
        <w:t>zpracování.</w:t>
      </w:r>
      <w:r>
        <w:t xml:space="preserve">  </w:t>
      </w:r>
      <w:r w:rsidRPr="00C00538">
        <w:t>Analyzujeme získaná data v </w:t>
      </w:r>
      <w:r w:rsidRPr="00945CD3">
        <w:t>DataStudiu</w:t>
      </w:r>
      <w:r w:rsidRPr="00C00538">
        <w:t>.</w:t>
      </w:r>
      <w:r>
        <w:t xml:space="preserve"> Naměřené h</w:t>
      </w:r>
      <w:r w:rsidRPr="00C00538">
        <w:t xml:space="preserve">odnoty </w:t>
      </w:r>
      <w:r>
        <w:t xml:space="preserve">krevního tlaku a tepu zaznamenáme do tabulky a vyhodnotíme. </w:t>
      </w:r>
      <w:r w:rsidRPr="00C00538">
        <w:t>Do tabulky zapíšeme i výsledky spolupracovníka a navzájem je porovnáme, zdůvodníme odlišnosti.</w:t>
      </w:r>
      <w:r>
        <w:t xml:space="preserve"> </w:t>
      </w:r>
      <w:r w:rsidRPr="00C00538">
        <w:t>Vy</w:t>
      </w:r>
      <w:r>
        <w:t>pracujeme závěr.</w:t>
      </w:r>
    </w:p>
    <w:p w:rsidR="004F5648" w:rsidRDefault="00040D37" w:rsidP="004D01D3">
      <w:pPr>
        <w:pStyle w:val="EXPOZ-nadpis3"/>
      </w:pPr>
      <w:r>
        <w:t>Nastavení HW a SW</w:t>
      </w:r>
    </w:p>
    <w:p w:rsidR="004D01D3" w:rsidRDefault="004D01D3" w:rsidP="004D01D3">
      <w:pPr>
        <w:pStyle w:val="EXPOZ-zakladnitext"/>
      </w:pPr>
      <w:r w:rsidRPr="00D50D12">
        <w:t xml:space="preserve">Připojíme </w:t>
      </w:r>
      <w:r>
        <w:t>Senzor PS-2207</w:t>
      </w:r>
      <w:r w:rsidRPr="00D50D12">
        <w:t xml:space="preserve"> do USB </w:t>
      </w:r>
      <w:proofErr w:type="spellStart"/>
      <w:r w:rsidRPr="00D50D12">
        <w:t>LINKu</w:t>
      </w:r>
      <w:proofErr w:type="spellEnd"/>
      <w:r w:rsidRPr="00D50D12">
        <w:t xml:space="preserve"> PS-2100A a propojíme s USB portem počítače</w:t>
      </w:r>
      <w:r w:rsidR="004A7642">
        <w:t xml:space="preserve"> (obr. 2).</w:t>
      </w:r>
    </w:p>
    <w:p w:rsidR="004D01D3" w:rsidRDefault="004D01D3" w:rsidP="004D01D3">
      <w:pPr>
        <w:pStyle w:val="EXPOZ-zakladnitext"/>
      </w:pPr>
      <w:r w:rsidRPr="00D50D12">
        <w:t xml:space="preserve">Spustíme v počítači program DataStudio. </w:t>
      </w:r>
      <w:r w:rsidRPr="00233DC5">
        <w:t xml:space="preserve">V  DataStudiu zvolíme variantu </w:t>
      </w:r>
      <w:r w:rsidRPr="007A45F3">
        <w:rPr>
          <w:rStyle w:val="EXPOZ-italic"/>
        </w:rPr>
        <w:t>Creative experiment</w:t>
      </w:r>
      <w:r>
        <w:t xml:space="preserve">, program sám rozpozná senzor a přednastaví tabulku s měřenými daty: </w:t>
      </w:r>
      <w:r w:rsidRPr="009166F5">
        <w:rPr>
          <w:rStyle w:val="EXPOZ-italic"/>
        </w:rPr>
        <w:t>Pressure, Pulze Rate, Systolic BP</w:t>
      </w:r>
      <w:r>
        <w:t xml:space="preserve"> a </w:t>
      </w:r>
      <w:r w:rsidRPr="009166F5">
        <w:rPr>
          <w:rStyle w:val="EXPOZ-italic"/>
        </w:rPr>
        <w:t>Diastolic BP</w:t>
      </w:r>
      <w:r>
        <w:t>. Program je připraven ke sběru dat.</w:t>
      </w:r>
    </w:p>
    <w:p w:rsidR="004F5648" w:rsidRDefault="00040D37" w:rsidP="004D01D3">
      <w:pPr>
        <w:pStyle w:val="EXPOZ-nadpis3"/>
      </w:pPr>
      <w:r>
        <w:t>Příprava měření</w:t>
      </w:r>
    </w:p>
    <w:p w:rsidR="004D01D3" w:rsidRDefault="004D01D3" w:rsidP="004D01D3">
      <w:pPr>
        <w:pStyle w:val="EXPOZ-zakladnitext"/>
        <w:rPr>
          <w:szCs w:val="23"/>
        </w:rPr>
      </w:pPr>
      <w:r>
        <w:rPr>
          <w:szCs w:val="23"/>
        </w:rPr>
        <w:t>Testovaná osoba si sundá</w:t>
      </w:r>
      <w:r w:rsidRPr="000E144C">
        <w:rPr>
          <w:szCs w:val="23"/>
        </w:rPr>
        <w:t xml:space="preserve"> všechn</w:t>
      </w:r>
      <w:r>
        <w:rPr>
          <w:szCs w:val="23"/>
        </w:rPr>
        <w:t>u</w:t>
      </w:r>
      <w:r w:rsidRPr="000E144C">
        <w:rPr>
          <w:szCs w:val="23"/>
        </w:rPr>
        <w:t xml:space="preserve"> </w:t>
      </w:r>
      <w:r>
        <w:rPr>
          <w:szCs w:val="23"/>
        </w:rPr>
        <w:t>svírající bižuterii</w:t>
      </w:r>
      <w:r w:rsidRPr="000E144C">
        <w:rPr>
          <w:szCs w:val="23"/>
        </w:rPr>
        <w:t xml:space="preserve">. </w:t>
      </w:r>
      <w:r w:rsidR="004A7642">
        <w:rPr>
          <w:szCs w:val="23"/>
        </w:rPr>
        <w:t xml:space="preserve">Během měření </w:t>
      </w:r>
      <w:r>
        <w:rPr>
          <w:szCs w:val="23"/>
        </w:rPr>
        <w:t>sedí pohodlně, levé předloktí má na pevné opoře tak, aby dlaň směřovala nahoru.</w:t>
      </w:r>
      <w:r w:rsidR="004A7642">
        <w:rPr>
          <w:szCs w:val="23"/>
        </w:rPr>
        <w:t xml:space="preserve"> Pro měření je nutné volné oblečení v oblasti paže.</w:t>
      </w:r>
    </w:p>
    <w:p w:rsidR="004D01D3" w:rsidRPr="007F7B49" w:rsidRDefault="004D01D3" w:rsidP="004D01D3">
      <w:pPr>
        <w:pStyle w:val="EXPOZ-zakladnitext"/>
      </w:pPr>
      <w:r>
        <w:t>Osoba</w:t>
      </w:r>
      <w:r w:rsidRPr="007F7B49">
        <w:t xml:space="preserve"> provádějící měření</w:t>
      </w:r>
      <w:r>
        <w:t xml:space="preserve"> ovine pevně, ale bez zaškrcení končetiny, manžetu kolem horní části levé </w:t>
      </w:r>
      <w:r>
        <w:lastRenderedPageBreak/>
        <w:t>paže dolním okrajem asi 2,5 cm nad loketní jamku tak, aby obě hadičky visely z manžety dolů, každá po jedné straně paže. Manžetu otočí tak, aby bílá čára s označením Artery byla umístěna na vnitřní části paže v průběhu pažní tepny. Manžeta by měla být v úrovni srdce</w:t>
      </w:r>
      <w:r w:rsidR="004A7642">
        <w:t xml:space="preserve"> (obr. 3)</w:t>
      </w:r>
      <w:r>
        <w:t>.</w:t>
      </w:r>
    </w:p>
    <w:p w:rsidR="004D01D3" w:rsidRPr="000E144C" w:rsidRDefault="004D01D3" w:rsidP="004D01D3">
      <w:pPr>
        <w:pStyle w:val="EXPOZ-zakladnitext"/>
      </w:pPr>
      <w:r w:rsidRPr="000E144C">
        <w:t xml:space="preserve">Po </w:t>
      </w:r>
      <w:r>
        <w:t>upevnění manžety</w:t>
      </w:r>
      <w:r w:rsidRPr="000E144C">
        <w:t xml:space="preserve"> </w:t>
      </w:r>
      <w:r>
        <w:t xml:space="preserve">se rozsvítí </w:t>
      </w:r>
      <w:r w:rsidRPr="00820C00">
        <w:rPr>
          <w:rStyle w:val="EXPOZ-bold"/>
        </w:rPr>
        <w:t>zelená LED dioda</w:t>
      </w:r>
      <w:r w:rsidRPr="000E144C">
        <w:t xml:space="preserve"> na senzoru</w:t>
      </w:r>
      <w:r>
        <w:t xml:space="preserve">. </w:t>
      </w:r>
      <w:r w:rsidRPr="000E144C">
        <w:t xml:space="preserve">Signalizuje tak, že senzor je připraven ke sběru dat. </w:t>
      </w:r>
    </w:p>
    <w:p w:rsidR="00CA1E68" w:rsidRDefault="00040D37" w:rsidP="004D01D3">
      <w:pPr>
        <w:pStyle w:val="EXPOZ-nadpis3"/>
      </w:pPr>
      <w:r>
        <w:t>Vlastní měření (záznam dat)</w:t>
      </w:r>
    </w:p>
    <w:p w:rsidR="004D01D3" w:rsidRDefault="004D01D3" w:rsidP="004D01D3">
      <w:pPr>
        <w:pStyle w:val="EXPOZ-zakladnitext"/>
      </w:pPr>
      <w:r>
        <w:t xml:space="preserve">Zabráníme tomu, aby testovaná osoba viděla v průběhu testování zobrazované údaje, testovaná osoba musí být v klidu a nemluví, sedí zcela rovně, uvolněně a bez překřížení nohou. </w:t>
      </w:r>
    </w:p>
    <w:p w:rsidR="004D01D3" w:rsidRPr="006E2998" w:rsidRDefault="004D01D3" w:rsidP="004D01D3">
      <w:pPr>
        <w:pStyle w:val="EXPOZ-zakladnitext"/>
        <w:rPr>
          <w:rStyle w:val="EXPOZ-bold"/>
        </w:rPr>
      </w:pPr>
      <w:r>
        <w:t xml:space="preserve">a) </w:t>
      </w:r>
      <w:r w:rsidRPr="006E2998">
        <w:rPr>
          <w:rStyle w:val="EXPOZ-bold"/>
        </w:rPr>
        <w:t>měření v klidu</w:t>
      </w:r>
    </w:p>
    <w:p w:rsidR="004D01D3" w:rsidRDefault="004D01D3" w:rsidP="004D01D3">
      <w:pPr>
        <w:pStyle w:val="EXPOZ-zakladnitext"/>
      </w:pPr>
      <w:r w:rsidRPr="007F7B49">
        <w:t>Osoba, provádějící měření</w:t>
      </w:r>
      <w:r>
        <w:t xml:space="preserve">, stiskem zeleného tlačítka </w:t>
      </w:r>
      <w:r w:rsidRPr="009B3F93">
        <w:rPr>
          <w:rStyle w:val="EXPOZ-italic"/>
        </w:rPr>
        <w:t>START</w:t>
      </w:r>
      <w:r>
        <w:t xml:space="preserve"> v levém rohu spustí měření.  Nafoukne tlakovacím balónkem manžetu na tlak asi  170 - 200 mm </w:t>
      </w:r>
      <w:proofErr w:type="spellStart"/>
      <w:r>
        <w:t>Hg</w:t>
      </w:r>
      <w:proofErr w:type="spellEnd"/>
      <w:r>
        <w:t xml:space="preserve">. Po dobu nafukování </w:t>
      </w:r>
      <w:r w:rsidRPr="00A404C4">
        <w:t xml:space="preserve">bliká </w:t>
      </w:r>
      <w:r w:rsidRPr="000B2E9E">
        <w:rPr>
          <w:rStyle w:val="EXPOZ-bold"/>
        </w:rPr>
        <w:t>oranžová LED dioda</w:t>
      </w:r>
      <w:r>
        <w:t>.</w:t>
      </w:r>
      <w:r w:rsidRPr="00645DB0">
        <w:t xml:space="preserve"> </w:t>
      </w:r>
      <w:r>
        <w:t xml:space="preserve">Tlak v manžetě automaticky klesá, </w:t>
      </w:r>
      <w:r w:rsidRPr="000B2E9E">
        <w:rPr>
          <w:rStyle w:val="EXPOZ-bold"/>
        </w:rPr>
        <w:t>po dobu měření svítí oranžová LED dioda</w:t>
      </w:r>
      <w:r>
        <w:rPr>
          <w:rStyle w:val="EXPOZ-bold"/>
        </w:rPr>
        <w:t>,</w:t>
      </w:r>
      <w:r>
        <w:t xml:space="preserve"> nepřetržitě </w:t>
      </w:r>
      <w:r w:rsidRPr="000B2E9E">
        <w:rPr>
          <w:rStyle w:val="EXPOZ-bold"/>
        </w:rPr>
        <w:t>bliká zelená LED dioda</w:t>
      </w:r>
      <w:r>
        <w:t xml:space="preserve"> v srdečním rytmu.  V okamžiku, kdy se v tabulce objeví hodnoty všech čtyř veličin, ukončíme měření tlačítkem </w:t>
      </w:r>
      <w:r w:rsidRPr="009166F5">
        <w:rPr>
          <w:rStyle w:val="EXPOZ-italic"/>
        </w:rPr>
        <w:t>Konec</w:t>
      </w:r>
      <w:r>
        <w:t xml:space="preserve">. Tabulku s hodnotami </w:t>
      </w:r>
      <w:r w:rsidRPr="006D2DB6">
        <w:t>ulož</w:t>
      </w:r>
      <w:r>
        <w:t>íme</w:t>
      </w:r>
      <w:r w:rsidRPr="006D2DB6">
        <w:t xml:space="preserve"> z </w:t>
      </w:r>
      <w:r>
        <w:t xml:space="preserve"> </w:t>
      </w:r>
      <w:r w:rsidRPr="006D2DB6">
        <w:t xml:space="preserve">nabídky </w:t>
      </w:r>
      <w:r w:rsidRPr="001A7708">
        <w:rPr>
          <w:rStyle w:val="EXPOZ-italic"/>
        </w:rPr>
        <w:t>File</w:t>
      </w:r>
      <w:r>
        <w:rPr>
          <w:rStyle w:val="EXPOZ-italic"/>
        </w:rPr>
        <w:t xml:space="preserve"> - </w:t>
      </w:r>
      <w:r w:rsidRPr="001A7708">
        <w:rPr>
          <w:rStyle w:val="EXPOZ-italic"/>
        </w:rPr>
        <w:t>Save Activity As</w:t>
      </w:r>
      <w:r w:rsidRPr="006D2DB6">
        <w:t xml:space="preserve"> … jako soubor </w:t>
      </w:r>
      <w:r w:rsidRPr="00503C08">
        <w:t>DataStudio (*.ds)</w:t>
      </w:r>
      <w:r w:rsidRPr="006D2DB6">
        <w:t xml:space="preserve"> na místo, které má</w:t>
      </w:r>
      <w:r>
        <w:t>me vyhrazeno k ukládání souborů</w:t>
      </w:r>
      <w:r w:rsidR="004A7642">
        <w:t xml:space="preserve"> (obr. 4)</w:t>
      </w:r>
      <w:r>
        <w:t>.</w:t>
      </w:r>
    </w:p>
    <w:p w:rsidR="004D01D3" w:rsidRDefault="004D01D3" w:rsidP="004D01D3">
      <w:pPr>
        <w:pStyle w:val="EXPOZ-zakladnitext"/>
      </w:pPr>
      <w:r>
        <w:t xml:space="preserve">b) </w:t>
      </w:r>
      <w:r w:rsidRPr="006E2998">
        <w:rPr>
          <w:rStyle w:val="EXPOZ-bold"/>
        </w:rPr>
        <w:t>měření po zátěži</w:t>
      </w:r>
    </w:p>
    <w:p w:rsidR="004D01D3" w:rsidRDefault="004D01D3" w:rsidP="004D01D3">
      <w:pPr>
        <w:pStyle w:val="EXPOZ-zakladnitext"/>
      </w:pPr>
      <w:r>
        <w:t xml:space="preserve">Testovaná osoba provede 30 dřepů v časovém intervalu 30 s. Při provádění dřepů ponecháme manžetu připevněnou na paži, testovaná osoba drží v dlani balónek a senzor s USB linkem. </w:t>
      </w:r>
    </w:p>
    <w:p w:rsidR="004D01D3" w:rsidRDefault="004D01D3" w:rsidP="004D01D3">
      <w:pPr>
        <w:pStyle w:val="EXPOZ-zakladnitext"/>
      </w:pPr>
      <w:r>
        <w:t>Měření opakujeme stejným postupem jako při měření v</w:t>
      </w:r>
      <w:r w:rsidR="004A7642">
        <w:t> </w:t>
      </w:r>
      <w:r>
        <w:t>klidu</w:t>
      </w:r>
      <w:r w:rsidR="004A7642">
        <w:t xml:space="preserve"> (obr. 5)</w:t>
      </w:r>
      <w:r>
        <w:t xml:space="preserve">. </w:t>
      </w:r>
    </w:p>
    <w:p w:rsidR="004D01D3" w:rsidRDefault="004D01D3" w:rsidP="004D01D3">
      <w:pPr>
        <w:pStyle w:val="EXPOZ-zakladnitext"/>
      </w:pPr>
      <w:r>
        <w:t xml:space="preserve">Tabulku s hodnotami </w:t>
      </w:r>
      <w:r w:rsidRPr="006D2DB6">
        <w:t>ulož</w:t>
      </w:r>
      <w:r>
        <w:t>íme</w:t>
      </w:r>
      <w:r w:rsidRPr="006D2DB6">
        <w:t xml:space="preserve"> z </w:t>
      </w:r>
      <w:r>
        <w:t xml:space="preserve"> </w:t>
      </w:r>
      <w:r w:rsidRPr="006D2DB6">
        <w:t xml:space="preserve">nabídky </w:t>
      </w:r>
      <w:r w:rsidRPr="001A7708">
        <w:rPr>
          <w:rStyle w:val="EXPOZ-italic"/>
        </w:rPr>
        <w:t>File</w:t>
      </w:r>
      <w:r>
        <w:rPr>
          <w:rStyle w:val="EXPOZ-italic"/>
        </w:rPr>
        <w:t xml:space="preserve"> - </w:t>
      </w:r>
      <w:r w:rsidRPr="001A7708">
        <w:rPr>
          <w:rStyle w:val="EXPOZ-italic"/>
        </w:rPr>
        <w:t>Save Activity As</w:t>
      </w:r>
      <w:r w:rsidRPr="006D2DB6">
        <w:t xml:space="preserve"> … jako soubor </w:t>
      </w:r>
      <w:r w:rsidRPr="00503C08">
        <w:t>DataStudio (*.ds)</w:t>
      </w:r>
      <w:r w:rsidRPr="006D2DB6">
        <w:t xml:space="preserve"> na místo, které má</w:t>
      </w:r>
      <w:r>
        <w:t>me vyhrazeno k ukládání souborů.</w:t>
      </w:r>
    </w:p>
    <w:p w:rsidR="00040D37" w:rsidRDefault="00040D37">
      <w:pPr>
        <w:pStyle w:val="EXPOZ-nadpis3"/>
      </w:pPr>
      <w:r>
        <w:t>Analýza naměřených dat</w:t>
      </w:r>
    </w:p>
    <w:p w:rsidR="004D01D3" w:rsidRDefault="00CA1E68" w:rsidP="004D01D3">
      <w:pPr>
        <w:pStyle w:val="EXPOZ-zakladnitext"/>
      </w:pPr>
      <w:r>
        <w:t xml:space="preserve"> </w:t>
      </w:r>
      <w:r w:rsidR="004D01D3">
        <w:t xml:space="preserve">Naměřené hodnoty tepové frekvence, systolického i diastolického tlaku z obou měření zapíšeme do tabulky v pracovním listě. Vyhodnotíme </w:t>
      </w:r>
      <w:r w:rsidR="00C754FF">
        <w:t>vlastní</w:t>
      </w:r>
      <w:r w:rsidR="004D01D3">
        <w:t xml:space="preserve"> měření. Do tabulky zapíšeme i výsledky spolupracovníka a porovnáme je.</w:t>
      </w:r>
    </w:p>
    <w:p w:rsidR="00040D37" w:rsidRDefault="00040D37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CA1E68">
      <w:pPr>
        <w:pStyle w:val="EXPOZ-zakladnitext"/>
      </w:pPr>
    </w:p>
    <w:p w:rsidR="004D01D3" w:rsidRDefault="004D01D3" w:rsidP="0034501E">
      <w:pPr>
        <w:pStyle w:val="EXPOZ-nadpis2"/>
      </w:pPr>
      <w:r>
        <w:lastRenderedPageBreak/>
        <w:t>Obrazové přílohy</w:t>
      </w:r>
    </w:p>
    <w:p w:rsidR="007D6763" w:rsidRPr="007D6763" w:rsidRDefault="007D6763" w:rsidP="007D6763">
      <w:pPr>
        <w:pStyle w:val="EXPOZ-zakladnitext"/>
      </w:pPr>
    </w:p>
    <w:p w:rsidR="004A7642" w:rsidRDefault="004A7642" w:rsidP="004D01D3">
      <w:pPr>
        <w:pStyle w:val="EXPOZ-zakladnitext"/>
      </w:pPr>
      <w:r w:rsidRPr="004A7642">
        <w:rPr>
          <w:noProof/>
        </w:rPr>
        <w:drawing>
          <wp:inline distT="0" distB="0" distL="0" distR="0">
            <wp:extent cx="5716993" cy="3524250"/>
            <wp:effectExtent l="19050" t="0" r="0" b="0"/>
            <wp:docPr id="7" name="obrázek 7" descr="I:\web - návrh pro feltla 5.11\EXPOZ-kresby-pro-word\bi07_vliv fyzické zátěže na krevní tlak a tep_obr01-v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web - návrh pro feltla 5.11\EXPOZ-kresby-pro-word\bi07_vliv fyzické zátěže na krevní tlak a tep_obr01-v2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96" cy="353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D3" w:rsidRDefault="004D01D3" w:rsidP="004D01D3">
      <w:pPr>
        <w:pStyle w:val="EXPOZ-zakladnitext"/>
      </w:pPr>
      <w:r>
        <w:t>Obr. 1: Kolísání krevního tlaku v cévním řečišti</w:t>
      </w:r>
    </w:p>
    <w:p w:rsidR="004A7642" w:rsidRDefault="004A7642" w:rsidP="004D01D3">
      <w:pPr>
        <w:pStyle w:val="EXPOZ-zakladnitext"/>
      </w:pPr>
    </w:p>
    <w:p w:rsidR="0034501E" w:rsidRDefault="0034501E" w:rsidP="004D01D3">
      <w:pPr>
        <w:pStyle w:val="EXPOZ-zakladnitext"/>
      </w:pPr>
    </w:p>
    <w:p w:rsidR="004A7642" w:rsidRDefault="004A7642" w:rsidP="004D01D3">
      <w:pPr>
        <w:pStyle w:val="EXPOZ-zakladnitext"/>
      </w:pPr>
      <w:r w:rsidRPr="004A7642">
        <w:rPr>
          <w:noProof/>
        </w:rPr>
        <w:drawing>
          <wp:inline distT="0" distB="0" distL="0" distR="0">
            <wp:extent cx="5648325" cy="3741327"/>
            <wp:effectExtent l="19050" t="0" r="9525" b="0"/>
            <wp:docPr id="8" name="Obrázek 0" descr="bi 07_Vliv fyzické zátěže na krevní tlak a tep_obrazek-2jpg velikos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 07_Vliv fyzické zátěže na krevní tlak a tep_obrazek-2jpg velikost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226" cy="373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1D3" w:rsidRDefault="004A7642" w:rsidP="004D01D3">
      <w:pPr>
        <w:pStyle w:val="EXPOZ-zakladnitext"/>
      </w:pPr>
      <w:r w:rsidRPr="004A7642">
        <w:t xml:space="preserve"> </w:t>
      </w:r>
      <w:r>
        <w:t>Obr. 2: Sestava měřicí techniky</w:t>
      </w:r>
    </w:p>
    <w:p w:rsidR="004A7642" w:rsidRDefault="004A7642" w:rsidP="004D01D3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4946721" cy="3276600"/>
            <wp:effectExtent l="19050" t="0" r="6279" b="0"/>
            <wp:docPr id="4" name="Obrázek 3" descr="bi 07_Vliv fyzické zátěže na krevní tlak a tep_obrazek-3jpg velikos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 07_Vliv fyzické zátěže na krevní tlak a tep_obrazek-3jpg velikost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773" cy="32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1D3" w:rsidRDefault="004D01D3" w:rsidP="004D01D3">
      <w:pPr>
        <w:pStyle w:val="EXPOZ-zakladnitext"/>
      </w:pPr>
      <w:r>
        <w:t>O</w:t>
      </w:r>
      <w:r w:rsidR="004A7642">
        <w:t xml:space="preserve">br. </w:t>
      </w:r>
      <w:r>
        <w:t>3: Umístění manžety na paži</w:t>
      </w:r>
    </w:p>
    <w:p w:rsidR="004A7642" w:rsidRDefault="004A7642" w:rsidP="004D01D3">
      <w:pPr>
        <w:pStyle w:val="EXPOZ-zakladnitext"/>
      </w:pPr>
    </w:p>
    <w:p w:rsidR="004A7642" w:rsidRDefault="004A7642" w:rsidP="004D01D3">
      <w:pPr>
        <w:pStyle w:val="EXPOZ-zakladnitext"/>
      </w:pPr>
      <w:r>
        <w:rPr>
          <w:noProof/>
        </w:rPr>
        <w:drawing>
          <wp:inline distT="0" distB="0" distL="0" distR="0">
            <wp:extent cx="5335162" cy="4648200"/>
            <wp:effectExtent l="19050" t="0" r="0" b="0"/>
            <wp:docPr id="5" name="Obrázek 4" descr="bi 07_Vliv fyzické zátěže na krevní tlak a tep_obrazek-4 velikos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 07_Vliv fyzické zátěže na krevní tlak a tep_obrazek-4 velikost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257" cy="46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1D3" w:rsidRDefault="004D01D3" w:rsidP="004D01D3">
      <w:pPr>
        <w:pStyle w:val="EXPOZ-zakladnitext"/>
      </w:pPr>
      <w:r>
        <w:t>O</w:t>
      </w:r>
      <w:r w:rsidR="004A7642">
        <w:t xml:space="preserve">br. </w:t>
      </w:r>
      <w:r>
        <w:t>4: Záznam naměřených veličin v klidu</w:t>
      </w:r>
    </w:p>
    <w:p w:rsidR="007D6763" w:rsidRDefault="007D6763" w:rsidP="004A7642">
      <w:pPr>
        <w:pStyle w:val="EXPOZ-zakladnitext"/>
        <w:rPr>
          <w:noProof/>
        </w:rPr>
      </w:pPr>
    </w:p>
    <w:p w:rsidR="007D6763" w:rsidRDefault="004A7642" w:rsidP="004A7642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5581650" cy="6169465"/>
            <wp:effectExtent l="19050" t="0" r="0" b="0"/>
            <wp:docPr id="6" name="Obrázek 5" descr="bi 07_Vliv fyzické zátěže na krevní tlak a tep_obraz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 07_Vliv fyzické zátěže na krevní tlak a tep_obrazek-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223" cy="617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42" w:rsidRDefault="004A7642" w:rsidP="004A7642">
      <w:pPr>
        <w:pStyle w:val="EXPOZ-zakladnitext"/>
      </w:pPr>
      <w:r>
        <w:t>Obr. 5: Záznam naměřených veličin po zátěži</w:t>
      </w:r>
    </w:p>
    <w:p w:rsidR="004D01D3" w:rsidRDefault="004D01D3" w:rsidP="00CA1E68">
      <w:pPr>
        <w:pStyle w:val="EXPOZ-zakladnitext"/>
      </w:pPr>
    </w:p>
    <w:sectPr w:rsidR="004D01D3" w:rsidSect="00C9043E">
      <w:headerReference w:type="default" r:id="rId14"/>
      <w:footerReference w:type="default" r:id="rId15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28" w:rsidRDefault="00481C28">
      <w:r>
        <w:separator/>
      </w:r>
    </w:p>
  </w:endnote>
  <w:endnote w:type="continuationSeparator" w:id="0">
    <w:p w:rsidR="00481C28" w:rsidRDefault="0048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28" w:rsidRDefault="00481C28">
      <w:r>
        <w:separator/>
      </w:r>
    </w:p>
  </w:footnote>
  <w:footnote w:type="continuationSeparator" w:id="0">
    <w:p w:rsidR="00481C28" w:rsidRDefault="00481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A54B70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A54B70" w:rsidRPr="00DD48C6">
      <w:rPr>
        <w:sz w:val="20"/>
        <w:szCs w:val="20"/>
      </w:rPr>
      <w:fldChar w:fldCharType="separate"/>
    </w:r>
    <w:r w:rsidR="005747A4">
      <w:rPr>
        <w:noProof/>
        <w:sz w:val="20"/>
        <w:szCs w:val="20"/>
      </w:rPr>
      <w:t>3</w:t>
    </w:r>
    <w:r w:rsidR="00A54B70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fldSimple w:instr=" SECTIONPAGES  \* Arabic  \* MERGEFORMAT ">
      <w:r w:rsidR="005747A4" w:rsidRPr="005747A4">
        <w:rPr>
          <w:noProof/>
          <w:sz w:val="20"/>
          <w:szCs w:val="20"/>
        </w:rPr>
        <w:t>6</w:t>
      </w:r>
    </w:fldSimple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1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1D3"/>
    <w:rsid w:val="00013AAC"/>
    <w:rsid w:val="00025354"/>
    <w:rsid w:val="0003316B"/>
    <w:rsid w:val="000378BB"/>
    <w:rsid w:val="00040D37"/>
    <w:rsid w:val="0004343E"/>
    <w:rsid w:val="00046CC8"/>
    <w:rsid w:val="000909AF"/>
    <w:rsid w:val="000A7E5F"/>
    <w:rsid w:val="000B212C"/>
    <w:rsid w:val="001017C9"/>
    <w:rsid w:val="00111141"/>
    <w:rsid w:val="00113421"/>
    <w:rsid w:val="00116275"/>
    <w:rsid w:val="00134B0D"/>
    <w:rsid w:val="00137CCF"/>
    <w:rsid w:val="00161C63"/>
    <w:rsid w:val="00163916"/>
    <w:rsid w:val="00186E7A"/>
    <w:rsid w:val="001F18A3"/>
    <w:rsid w:val="002323AB"/>
    <w:rsid w:val="0026470D"/>
    <w:rsid w:val="00277B29"/>
    <w:rsid w:val="00285E4D"/>
    <w:rsid w:val="002B1210"/>
    <w:rsid w:val="002D22B0"/>
    <w:rsid w:val="002D763E"/>
    <w:rsid w:val="002E259F"/>
    <w:rsid w:val="00320A93"/>
    <w:rsid w:val="0032340D"/>
    <w:rsid w:val="0034501E"/>
    <w:rsid w:val="00345A1C"/>
    <w:rsid w:val="003A7030"/>
    <w:rsid w:val="003B5CCA"/>
    <w:rsid w:val="003C4306"/>
    <w:rsid w:val="003C6AB9"/>
    <w:rsid w:val="003D3F0D"/>
    <w:rsid w:val="00421914"/>
    <w:rsid w:val="00474032"/>
    <w:rsid w:val="00481C28"/>
    <w:rsid w:val="004A7642"/>
    <w:rsid w:val="004B45B0"/>
    <w:rsid w:val="004C239C"/>
    <w:rsid w:val="004D01D3"/>
    <w:rsid w:val="004F5648"/>
    <w:rsid w:val="005166DE"/>
    <w:rsid w:val="00521496"/>
    <w:rsid w:val="00527A15"/>
    <w:rsid w:val="00527BFA"/>
    <w:rsid w:val="005345E9"/>
    <w:rsid w:val="00566024"/>
    <w:rsid w:val="005700EF"/>
    <w:rsid w:val="005747A4"/>
    <w:rsid w:val="005A043F"/>
    <w:rsid w:val="005A6EEB"/>
    <w:rsid w:val="005B21EB"/>
    <w:rsid w:val="005D114F"/>
    <w:rsid w:val="005D1E13"/>
    <w:rsid w:val="00600220"/>
    <w:rsid w:val="00630DDD"/>
    <w:rsid w:val="006400F8"/>
    <w:rsid w:val="00655435"/>
    <w:rsid w:val="00656DE6"/>
    <w:rsid w:val="00687EE1"/>
    <w:rsid w:val="006A5950"/>
    <w:rsid w:val="006E37E4"/>
    <w:rsid w:val="006F4C53"/>
    <w:rsid w:val="0071776C"/>
    <w:rsid w:val="00734BC8"/>
    <w:rsid w:val="00761AB5"/>
    <w:rsid w:val="00766410"/>
    <w:rsid w:val="00766886"/>
    <w:rsid w:val="007731D0"/>
    <w:rsid w:val="0077764E"/>
    <w:rsid w:val="007A69C9"/>
    <w:rsid w:val="007D4409"/>
    <w:rsid w:val="007D6763"/>
    <w:rsid w:val="007E51B2"/>
    <w:rsid w:val="007F2A2E"/>
    <w:rsid w:val="007F2A6B"/>
    <w:rsid w:val="00806D44"/>
    <w:rsid w:val="008162EB"/>
    <w:rsid w:val="00816713"/>
    <w:rsid w:val="008376A7"/>
    <w:rsid w:val="008B29D5"/>
    <w:rsid w:val="008F0E3D"/>
    <w:rsid w:val="009018E0"/>
    <w:rsid w:val="00970370"/>
    <w:rsid w:val="009802C6"/>
    <w:rsid w:val="0099466D"/>
    <w:rsid w:val="009D5B39"/>
    <w:rsid w:val="009E3895"/>
    <w:rsid w:val="009F23F1"/>
    <w:rsid w:val="00A301ED"/>
    <w:rsid w:val="00A41B8B"/>
    <w:rsid w:val="00A54B70"/>
    <w:rsid w:val="00A63D6F"/>
    <w:rsid w:val="00A7228A"/>
    <w:rsid w:val="00A7266C"/>
    <w:rsid w:val="00AC04E0"/>
    <w:rsid w:val="00AC2340"/>
    <w:rsid w:val="00AD2B28"/>
    <w:rsid w:val="00B02F86"/>
    <w:rsid w:val="00B643A7"/>
    <w:rsid w:val="00B96FCA"/>
    <w:rsid w:val="00BA05BF"/>
    <w:rsid w:val="00BF6FD3"/>
    <w:rsid w:val="00C553D8"/>
    <w:rsid w:val="00C754FF"/>
    <w:rsid w:val="00C9043E"/>
    <w:rsid w:val="00C969FA"/>
    <w:rsid w:val="00CA1E68"/>
    <w:rsid w:val="00CD20D2"/>
    <w:rsid w:val="00CE1F28"/>
    <w:rsid w:val="00D03223"/>
    <w:rsid w:val="00D33B65"/>
    <w:rsid w:val="00D400B6"/>
    <w:rsid w:val="00D67BFD"/>
    <w:rsid w:val="00D842C3"/>
    <w:rsid w:val="00DD48C6"/>
    <w:rsid w:val="00DF6B3E"/>
    <w:rsid w:val="00E01F94"/>
    <w:rsid w:val="00E26C32"/>
    <w:rsid w:val="00E31326"/>
    <w:rsid w:val="00E4789F"/>
    <w:rsid w:val="00E51F64"/>
    <w:rsid w:val="00E55E33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sid w:val="00E4789F"/>
    <w:rPr>
      <w:rFonts w:ascii="Palatino Linotype" w:hAnsi="Palatino Linotype"/>
      <w:b/>
      <w:bCs/>
    </w:rPr>
  </w:style>
  <w:style w:type="character" w:customStyle="1" w:styleId="EXPOZ-italic">
    <w:name w:val="EXPOZ-italic"/>
    <w:rsid w:val="00E4789F"/>
    <w:rPr>
      <w:rFonts w:ascii="Palatino Linotype" w:hAnsi="Palatino Linotype"/>
      <w:i/>
      <w:iCs/>
    </w:rPr>
  </w:style>
  <w:style w:type="character" w:customStyle="1" w:styleId="EXPOZ-bolditalic">
    <w:name w:val="EXPOZ-bolditalic"/>
    <w:rsid w:val="00E4789F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rsid w:val="00E4789F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rsid w:val="00E4789F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rsid w:val="00E4789F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rsid w:val="00E4789F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sid w:val="00E4789F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sid w:val="00E4789F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2\Documents%20and%20Settings\dokumenty\Marta\pasco\realizovan&#233;%20experimenty\web%20&#353;ablona%20PN%2018.11\PN%20bi07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9E9D-98AA-4099-842D-9BCA5CA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46</TotalTime>
  <Pages>1</Pages>
  <Words>1082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7453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Najbertovi</dc:creator>
  <cp:keywords/>
  <cp:lastModifiedBy>Najbertovi</cp:lastModifiedBy>
  <cp:revision>19</cp:revision>
  <cp:lastPrinted>1900-12-31T23:00:00Z</cp:lastPrinted>
  <dcterms:created xsi:type="dcterms:W3CDTF">2012-11-19T23:03:00Z</dcterms:created>
  <dcterms:modified xsi:type="dcterms:W3CDTF">2012-12-28T18:07:00Z</dcterms:modified>
</cp:coreProperties>
</file>